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7F" w:rsidRPr="0059647F" w:rsidRDefault="00FB5105" w:rsidP="00FB51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</w:pPr>
      <w:r w:rsidRPr="0059647F"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  <w:t>Kupiškio r. kūno kultūros ir sporto centro</w:t>
      </w:r>
    </w:p>
    <w:p w:rsidR="00FB5105" w:rsidRPr="0059647F" w:rsidRDefault="00FB5105" w:rsidP="00FB51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</w:pPr>
      <w:r w:rsidRPr="0059647F"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  <w:t xml:space="preserve"> neformaliojo vaikų švietimo kokybės įsivertinimo</w:t>
      </w:r>
      <w:r w:rsidR="0059647F" w:rsidRPr="0059647F"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  <w:t xml:space="preserve"> </w:t>
      </w:r>
      <w:r w:rsidR="00B25C83" w:rsidRPr="0059647F"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  <w:t>r</w:t>
      </w:r>
      <w:r w:rsidRPr="0059647F">
        <w:rPr>
          <w:rFonts w:ascii="Times New Roman" w:eastAsia="Times New Roman" w:hAnsi="Times New Roman" w:cs="Times New Roman"/>
          <w:b/>
          <w:bCs/>
          <w:sz w:val="32"/>
          <w:szCs w:val="32"/>
          <w:lang w:eastAsia="lt-LT"/>
        </w:rPr>
        <w:t>ezultatai</w:t>
      </w:r>
    </w:p>
    <w:p w:rsidR="00FB5105" w:rsidRPr="001D7101" w:rsidRDefault="00FB5105" w:rsidP="00AB638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FE339D" w:rsidRPr="001D7101" w:rsidRDefault="009C3BC5" w:rsidP="00AB6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  <w:t>Nuoširdus ačiū Kupiškio r. kūno kultūros ir sporto centro</w:t>
      </w:r>
      <w:r w:rsidR="0059647F">
        <w:rPr>
          <w:rFonts w:ascii="Times New Roman" w:hAnsi="Times New Roman" w:cs="Times New Roman"/>
          <w:sz w:val="24"/>
          <w:szCs w:val="24"/>
        </w:rPr>
        <w:t xml:space="preserve"> (toliau–Centro)</w:t>
      </w:r>
      <w:r w:rsidRPr="001D7101">
        <w:rPr>
          <w:rFonts w:ascii="Times New Roman" w:hAnsi="Times New Roman" w:cs="Times New Roman"/>
          <w:sz w:val="24"/>
          <w:szCs w:val="24"/>
        </w:rPr>
        <w:t xml:space="preserve"> </w:t>
      </w:r>
      <w:r w:rsidR="00B25C83" w:rsidRPr="001D7101">
        <w:rPr>
          <w:rFonts w:ascii="Times New Roman" w:hAnsi="Times New Roman" w:cs="Times New Roman"/>
          <w:sz w:val="24"/>
          <w:szCs w:val="24"/>
        </w:rPr>
        <w:t>bendruomenei</w:t>
      </w:r>
      <w:r w:rsidRPr="001D7101">
        <w:rPr>
          <w:rFonts w:ascii="Times New Roman" w:hAnsi="Times New Roman" w:cs="Times New Roman"/>
          <w:sz w:val="24"/>
          <w:szCs w:val="24"/>
        </w:rPr>
        <w:t xml:space="preserve">: mokytojams, </w:t>
      </w:r>
      <w:r w:rsidR="007E79A0">
        <w:rPr>
          <w:rFonts w:ascii="Times New Roman" w:hAnsi="Times New Roman" w:cs="Times New Roman"/>
          <w:sz w:val="24"/>
          <w:szCs w:val="24"/>
        </w:rPr>
        <w:t xml:space="preserve">meistriškumo ugdymo grupių </w:t>
      </w:r>
      <w:r w:rsidR="00B25C83" w:rsidRPr="001D7101">
        <w:rPr>
          <w:rFonts w:ascii="Times New Roman" w:hAnsi="Times New Roman" w:cs="Times New Roman"/>
          <w:sz w:val="24"/>
          <w:szCs w:val="24"/>
        </w:rPr>
        <w:t>ugdytiniams, ugdytinių tėvams (globėjams, rūpintojams)</w:t>
      </w:r>
      <w:r w:rsidRPr="001D7101">
        <w:rPr>
          <w:rFonts w:ascii="Times New Roman" w:hAnsi="Times New Roman" w:cs="Times New Roman"/>
          <w:sz w:val="24"/>
          <w:szCs w:val="24"/>
        </w:rPr>
        <w:t xml:space="preserve">  </w:t>
      </w:r>
      <w:r w:rsidR="0039002D" w:rsidRPr="001D7101">
        <w:rPr>
          <w:rFonts w:ascii="Times New Roman" w:hAnsi="Times New Roman" w:cs="Times New Roman"/>
          <w:sz w:val="24"/>
          <w:szCs w:val="24"/>
        </w:rPr>
        <w:t>sutikusiems dalyvauti</w:t>
      </w:r>
      <w:r w:rsidRPr="001D7101">
        <w:rPr>
          <w:rFonts w:ascii="Times New Roman" w:hAnsi="Times New Roman" w:cs="Times New Roman"/>
          <w:sz w:val="24"/>
          <w:szCs w:val="24"/>
        </w:rPr>
        <w:t xml:space="preserve"> apklausoje.</w:t>
      </w:r>
    </w:p>
    <w:p w:rsidR="00FE339D" w:rsidRPr="001D7101" w:rsidRDefault="00F4590F" w:rsidP="009C3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  <w:r w:rsidR="00FE339D" w:rsidRPr="001D7101">
        <w:rPr>
          <w:rFonts w:ascii="Times New Roman" w:hAnsi="Times New Roman" w:cs="Times New Roman"/>
          <w:sz w:val="24"/>
          <w:szCs w:val="24"/>
        </w:rPr>
        <w:t xml:space="preserve">Apklausos </w:t>
      </w:r>
      <w:r w:rsidR="00FB5105" w:rsidRPr="001D7101">
        <w:rPr>
          <w:rFonts w:ascii="Times New Roman" w:hAnsi="Times New Roman" w:cs="Times New Roman"/>
          <w:sz w:val="24"/>
          <w:szCs w:val="24"/>
        </w:rPr>
        <w:t>pradžios data  2021-01-26</w:t>
      </w:r>
      <w:r w:rsidR="00D11896" w:rsidRPr="001D7101">
        <w:rPr>
          <w:rFonts w:ascii="Times New Roman" w:hAnsi="Times New Roman" w:cs="Times New Roman"/>
          <w:sz w:val="24"/>
          <w:szCs w:val="24"/>
        </w:rPr>
        <w:t xml:space="preserve">, </w:t>
      </w:r>
      <w:r w:rsidR="00AB6385" w:rsidRPr="001D7101">
        <w:rPr>
          <w:rFonts w:ascii="Times New Roman" w:hAnsi="Times New Roman" w:cs="Times New Roman"/>
          <w:sz w:val="24"/>
          <w:szCs w:val="24"/>
        </w:rPr>
        <w:t xml:space="preserve">apklausos </w:t>
      </w:r>
      <w:r w:rsidR="00D11896" w:rsidRPr="001D7101">
        <w:rPr>
          <w:rFonts w:ascii="Times New Roman" w:hAnsi="Times New Roman" w:cs="Times New Roman"/>
          <w:sz w:val="24"/>
          <w:szCs w:val="24"/>
        </w:rPr>
        <w:t>pabaigos data</w:t>
      </w:r>
      <w:r w:rsidR="00FB5105" w:rsidRPr="001D7101">
        <w:rPr>
          <w:rFonts w:ascii="Times New Roman" w:hAnsi="Times New Roman" w:cs="Times New Roman"/>
          <w:sz w:val="24"/>
          <w:szCs w:val="24"/>
        </w:rPr>
        <w:t xml:space="preserve"> 2021-01-29</w:t>
      </w:r>
      <w:r w:rsidR="00D11896" w:rsidRPr="001D7101">
        <w:rPr>
          <w:rFonts w:ascii="Times New Roman" w:hAnsi="Times New Roman" w:cs="Times New Roman"/>
          <w:sz w:val="24"/>
          <w:szCs w:val="24"/>
        </w:rPr>
        <w:t>.</w:t>
      </w:r>
    </w:p>
    <w:p w:rsidR="00B25C83" w:rsidRPr="001D7101" w:rsidRDefault="00AB6385" w:rsidP="00D1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  <w:r w:rsidR="00B25C83" w:rsidRPr="001D7101">
        <w:rPr>
          <w:rFonts w:ascii="Times New Roman" w:hAnsi="Times New Roman" w:cs="Times New Roman"/>
          <w:sz w:val="24"/>
          <w:szCs w:val="24"/>
        </w:rPr>
        <w:t>Panaudota</w:t>
      </w:r>
      <w:r w:rsidR="00FE339D" w:rsidRPr="001D7101">
        <w:rPr>
          <w:rFonts w:ascii="Times New Roman" w:hAnsi="Times New Roman" w:cs="Times New Roman"/>
          <w:sz w:val="24"/>
          <w:szCs w:val="24"/>
        </w:rPr>
        <w:t xml:space="preserve"> </w:t>
      </w:r>
      <w:r w:rsidR="00FB5105" w:rsidRPr="001D7101">
        <w:rPr>
          <w:rFonts w:ascii="Times New Roman" w:hAnsi="Times New Roman" w:cs="Times New Roman"/>
          <w:sz w:val="24"/>
          <w:szCs w:val="24"/>
        </w:rPr>
        <w:t xml:space="preserve">neformaliojo vaikų švietimo kokybės rodiklių įsivertinimo klausimyno </w:t>
      </w:r>
      <w:r w:rsidR="00B25C83" w:rsidRPr="001D7101">
        <w:rPr>
          <w:rFonts w:ascii="Times New Roman" w:hAnsi="Times New Roman" w:cs="Times New Roman"/>
          <w:sz w:val="24"/>
          <w:szCs w:val="24"/>
        </w:rPr>
        <w:t>ugdymo organizavimo srities bendravimo ir bendradarbiavimo rodikliai ir ugdymo aplinkos srities fizinės ugdymo(si) aplinkos ir priemonių rodiklis bei psichologinės aplinkos rodiklis.</w:t>
      </w:r>
    </w:p>
    <w:p w:rsidR="00B25C83" w:rsidRPr="001D7101" w:rsidRDefault="007E79A0" w:rsidP="00B25C8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Klausimyną sudarė</w:t>
      </w:r>
      <w:r w:rsidR="00B25C83" w:rsidRPr="001D7101">
        <w:rPr>
          <w:rFonts w:ascii="Times New Roman" w:hAnsi="Times New Roman" w:cs="Times New Roman"/>
          <w:sz w:val="24"/>
          <w:szCs w:val="24"/>
        </w:rPr>
        <w:t xml:space="preserve"> 14  teiginių. 1– 4 teiginiai apėmė ugdymo organizavimo sritį  – bendravimas ir bendradarbiavimas. 5 – 10 teiginiai apėmė ugdymo(si) aplinkos sritį –  fizinė ugdymo(si) aplinka ir priemonės. 11 – 13 teiginiai apėmė  ugdymo(si) aplinkos sritį –  psichologinė aplinka.  14 teiginyje respondentai galėjo išsakyti savo nuomonę ir pasiūlymus dėl ugdymo(si) aplinkų Centre.</w:t>
      </w:r>
    </w:p>
    <w:p w:rsidR="00B25C83" w:rsidRPr="001D7101" w:rsidRDefault="00B25C83" w:rsidP="00B25C8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 xml:space="preserve">Klausimynas buvo platinamas per </w:t>
      </w:r>
      <w:hyperlink r:id="rId6" w:history="1">
        <w:r w:rsidRPr="001D7101">
          <w:rPr>
            <w:rStyle w:val="Hipersaitas"/>
            <w:rFonts w:ascii="Times New Roman" w:hAnsi="Times New Roman" w:cs="Times New Roman"/>
            <w:sz w:val="24"/>
            <w:szCs w:val="24"/>
          </w:rPr>
          <w:t>www.apklausa.lt</w:t>
        </w:r>
      </w:hyperlink>
      <w:r w:rsidR="007E79A0">
        <w:rPr>
          <w:rFonts w:ascii="Times New Roman" w:hAnsi="Times New Roman" w:cs="Times New Roman"/>
          <w:sz w:val="24"/>
          <w:szCs w:val="24"/>
        </w:rPr>
        <w:t>. Užpildyti</w:t>
      </w:r>
      <w:r w:rsidRPr="001D7101">
        <w:rPr>
          <w:rFonts w:ascii="Times New Roman" w:hAnsi="Times New Roman" w:cs="Times New Roman"/>
          <w:sz w:val="24"/>
          <w:szCs w:val="24"/>
        </w:rPr>
        <w:t xml:space="preserve"> 125 klausimynai.</w:t>
      </w:r>
      <w:r w:rsidR="006018EF" w:rsidRPr="001D7101">
        <w:rPr>
          <w:rFonts w:ascii="Times New Roman" w:hAnsi="Times New Roman" w:cs="Times New Roman"/>
          <w:sz w:val="24"/>
          <w:szCs w:val="24"/>
        </w:rPr>
        <w:t xml:space="preserve"> Anketą užpildė 5 centro mokytojai, 61 ugdytinis ir 59 tėvai (globėjai, rūpintojai).</w:t>
      </w:r>
    </w:p>
    <w:p w:rsidR="00C714A9" w:rsidRPr="0059647F" w:rsidRDefault="00C714A9" w:rsidP="00FB0170">
      <w:pPr>
        <w:pStyle w:val="Default"/>
        <w:spacing w:after="1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47F">
        <w:rPr>
          <w:rFonts w:ascii="Times New Roman" w:hAnsi="Times New Roman" w:cs="Times New Roman"/>
          <w:b/>
          <w:sz w:val="32"/>
          <w:szCs w:val="32"/>
        </w:rPr>
        <w:t>Svarbu</w:t>
      </w:r>
    </w:p>
    <w:p w:rsidR="00970A83" w:rsidRPr="001D7101" w:rsidRDefault="00C714A9" w:rsidP="00C714A9">
      <w:pPr>
        <w:pStyle w:val="Default"/>
        <w:spacing w:after="129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 </w:t>
      </w:r>
      <w:r w:rsidRPr="001D7101">
        <w:rPr>
          <w:rFonts w:ascii="Times New Roman" w:hAnsi="Times New Roman" w:cs="Times New Roman"/>
        </w:rPr>
        <w:tab/>
        <w:t>V</w:t>
      </w:r>
      <w:r w:rsidR="00970A83" w:rsidRPr="001D7101">
        <w:rPr>
          <w:rFonts w:ascii="Times New Roman" w:hAnsi="Times New Roman" w:cs="Times New Roman"/>
        </w:rPr>
        <w:t xml:space="preserve">idutinė vertė, lygi </w:t>
      </w:r>
      <w:r w:rsidR="00970A83" w:rsidRPr="001D7101">
        <w:rPr>
          <w:rFonts w:ascii="Times New Roman" w:hAnsi="Times New Roman" w:cs="Times New Roman"/>
          <w:iCs/>
        </w:rPr>
        <w:t>2.5</w:t>
      </w:r>
      <w:r w:rsidR="00970A83" w:rsidRPr="001D7101">
        <w:rPr>
          <w:rFonts w:ascii="Times New Roman" w:hAnsi="Times New Roman" w:cs="Times New Roman"/>
        </w:rPr>
        <w:t xml:space="preserve">, yra </w:t>
      </w:r>
      <w:r w:rsidR="00970A83" w:rsidRPr="001D7101">
        <w:rPr>
          <w:rFonts w:ascii="Times New Roman" w:hAnsi="Times New Roman" w:cs="Times New Roman"/>
          <w:u w:val="single"/>
        </w:rPr>
        <w:t>neutrali</w:t>
      </w:r>
      <w:r w:rsidR="00970A83" w:rsidRPr="001D7101">
        <w:rPr>
          <w:rFonts w:ascii="Times New Roman" w:hAnsi="Times New Roman" w:cs="Times New Roman"/>
        </w:rPr>
        <w:t xml:space="preserve"> vertė. Taigi vertinant kokybę, vidutinės vertės, didesnės nei 2.5, reiškia, kad kokybė įvertinta teigiamai, o žemesnės – kad kokybė įvertinta neigiamai. </w:t>
      </w:r>
    </w:p>
    <w:p w:rsidR="00970A83" w:rsidRPr="001D7101" w:rsidRDefault="00970A83" w:rsidP="00C714A9">
      <w:pPr>
        <w:pStyle w:val="Default"/>
        <w:spacing w:after="129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 </w:t>
      </w:r>
      <w:r w:rsidR="00FB2313" w:rsidRPr="001D7101">
        <w:rPr>
          <w:rFonts w:ascii="Times New Roman" w:hAnsi="Times New Roman" w:cs="Times New Roman"/>
        </w:rPr>
        <w:tab/>
      </w:r>
      <w:r w:rsidRPr="001D7101">
        <w:rPr>
          <w:rFonts w:ascii="Times New Roman" w:hAnsi="Times New Roman" w:cs="Times New Roman"/>
        </w:rPr>
        <w:t xml:space="preserve">Respondentų, kurie pasirinko įvertinimus 3 arba 4, skaičiaus </w:t>
      </w:r>
      <w:r w:rsidR="00FB2313" w:rsidRPr="001D7101">
        <w:rPr>
          <w:rFonts w:ascii="Times New Roman" w:hAnsi="Times New Roman" w:cs="Times New Roman"/>
          <w:iCs/>
        </w:rPr>
        <w:t>procentinė iš</w:t>
      </w:r>
      <w:r w:rsidRPr="001D7101">
        <w:rPr>
          <w:rFonts w:ascii="Times New Roman" w:hAnsi="Times New Roman" w:cs="Times New Roman"/>
          <w:iCs/>
        </w:rPr>
        <w:t xml:space="preserve">raiška </w:t>
      </w:r>
      <w:r w:rsidRPr="001D7101">
        <w:rPr>
          <w:rFonts w:ascii="Times New Roman" w:hAnsi="Times New Roman" w:cs="Times New Roman"/>
        </w:rPr>
        <w:t xml:space="preserve">rodo, kurie teiginiai apie veiklos kokybę yra vertinami palyginti </w:t>
      </w:r>
      <w:r w:rsidR="00FB2313" w:rsidRPr="001D7101">
        <w:rPr>
          <w:rFonts w:ascii="Times New Roman" w:hAnsi="Times New Roman" w:cs="Times New Roman"/>
        </w:rPr>
        <w:t xml:space="preserve">gerai, o kurie – prasčiau. </w:t>
      </w:r>
    </w:p>
    <w:p w:rsidR="005554A8" w:rsidRPr="001D7101" w:rsidRDefault="00970A83" w:rsidP="006F6623">
      <w:pPr>
        <w:pStyle w:val="Default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 </w:t>
      </w:r>
      <w:r w:rsidR="00FB2313" w:rsidRPr="001D7101">
        <w:rPr>
          <w:rFonts w:ascii="Times New Roman" w:hAnsi="Times New Roman" w:cs="Times New Roman"/>
        </w:rPr>
        <w:tab/>
      </w:r>
      <w:r w:rsidRPr="001D7101">
        <w:rPr>
          <w:rFonts w:ascii="Times New Roman" w:hAnsi="Times New Roman" w:cs="Times New Roman"/>
        </w:rPr>
        <w:t xml:space="preserve">Pateiktų </w:t>
      </w:r>
      <w:r w:rsidRPr="001D7101">
        <w:rPr>
          <w:rFonts w:ascii="Times New Roman" w:hAnsi="Times New Roman" w:cs="Times New Roman"/>
          <w:iCs/>
        </w:rPr>
        <w:t>atsakymų pasiskirstymas</w:t>
      </w:r>
      <w:r w:rsidRPr="001D7101">
        <w:rPr>
          <w:rFonts w:ascii="Times New Roman" w:hAnsi="Times New Roman" w:cs="Times New Roman"/>
          <w:i/>
          <w:iCs/>
        </w:rPr>
        <w:t xml:space="preserve"> </w:t>
      </w:r>
      <w:r w:rsidRPr="001D7101">
        <w:rPr>
          <w:rFonts w:ascii="Times New Roman" w:hAnsi="Times New Roman" w:cs="Times New Roman"/>
        </w:rPr>
        <w:t xml:space="preserve">rodo, ar </w:t>
      </w:r>
      <w:r w:rsidR="00FB2313" w:rsidRPr="001D7101">
        <w:rPr>
          <w:rFonts w:ascii="Times New Roman" w:hAnsi="Times New Roman" w:cs="Times New Roman"/>
        </w:rPr>
        <w:t>labai skiriasi respondentų atsakymai. Kuo maž</w:t>
      </w:r>
      <w:r w:rsidRPr="001D7101">
        <w:rPr>
          <w:rFonts w:ascii="Times New Roman" w:hAnsi="Times New Roman" w:cs="Times New Roman"/>
        </w:rPr>
        <w:t xml:space="preserve">iau varijuoja atsakymai, tuo tiksliau vidutinė vertė atspindi pasiskirstymą. Jei atsakymai labai „išsibarstę“, analizuojama, kodėl taip įvyko. </w:t>
      </w:r>
    </w:p>
    <w:p w:rsidR="006F6623" w:rsidRPr="001D7101" w:rsidRDefault="006F6623" w:rsidP="006F6623">
      <w:pPr>
        <w:pStyle w:val="Default"/>
        <w:jc w:val="both"/>
        <w:rPr>
          <w:rFonts w:ascii="Times New Roman" w:hAnsi="Times New Roman" w:cs="Times New Roman"/>
        </w:rPr>
      </w:pPr>
    </w:p>
    <w:p w:rsidR="00FE339D" w:rsidRPr="0059647F" w:rsidRDefault="00AB6385" w:rsidP="00AB638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96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Atsakymai </w:t>
      </w:r>
      <w:r w:rsidR="00D11896" w:rsidRPr="00596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su aukščiausiomis ir žemiausiomis vertėmis</w:t>
      </w:r>
    </w:p>
    <w:tbl>
      <w:tblPr>
        <w:tblStyle w:val="Lentelstinklelis"/>
        <w:tblW w:w="0" w:type="auto"/>
        <w:tblInd w:w="-601" w:type="dxa"/>
        <w:tblLook w:val="04A0" w:firstRow="1" w:lastRow="0" w:firstColumn="1" w:lastColumn="0" w:noHBand="0" w:noVBand="1"/>
      </w:tblPr>
      <w:tblGrid>
        <w:gridCol w:w="5841"/>
        <w:gridCol w:w="4388"/>
      </w:tblGrid>
      <w:tr w:rsidR="006F6623" w:rsidRPr="001D7101" w:rsidTr="00951566">
        <w:tc>
          <w:tcPr>
            <w:tcW w:w="5841" w:type="dxa"/>
          </w:tcPr>
          <w:p w:rsidR="00D11896" w:rsidRPr="001D7101" w:rsidRDefault="00D11896" w:rsidP="00F45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b/>
                <w:sz w:val="24"/>
                <w:szCs w:val="24"/>
              </w:rPr>
              <w:t>5 aukščiausios vertės</w:t>
            </w:r>
          </w:p>
        </w:tc>
        <w:tc>
          <w:tcPr>
            <w:tcW w:w="4388" w:type="dxa"/>
          </w:tcPr>
          <w:p w:rsidR="00D11896" w:rsidRPr="001D7101" w:rsidRDefault="00D11896" w:rsidP="00F45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b/>
                <w:sz w:val="24"/>
                <w:szCs w:val="24"/>
              </w:rPr>
              <w:t>5 žemiausios vertės</w:t>
            </w:r>
          </w:p>
        </w:tc>
      </w:tr>
      <w:tr w:rsidR="006F6623" w:rsidRPr="001D7101" w:rsidTr="00951566">
        <w:tc>
          <w:tcPr>
            <w:tcW w:w="5841" w:type="dxa"/>
          </w:tcPr>
          <w:p w:rsidR="00D11896" w:rsidRPr="001D7101" w:rsidRDefault="000E0198" w:rsidP="000E0198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Vaikų, mokytojų ir vadovų tarpusavio santykiai grindžiami pagarba ir pasitikėjimu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3,80</w:t>
            </w:r>
          </w:p>
        </w:tc>
        <w:tc>
          <w:tcPr>
            <w:tcW w:w="4388" w:type="dxa"/>
          </w:tcPr>
          <w:p w:rsidR="00D11896" w:rsidRPr="001D7101" w:rsidRDefault="006F6623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Patalpos pritaikytos mokiniams, turintiems specialiųjų ugdymosi poreikių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2,55</w:t>
            </w:r>
          </w:p>
        </w:tc>
      </w:tr>
      <w:tr w:rsidR="006F6623" w:rsidRPr="001D7101" w:rsidTr="00951566">
        <w:tc>
          <w:tcPr>
            <w:tcW w:w="5841" w:type="dxa"/>
          </w:tcPr>
          <w:p w:rsidR="00D11896" w:rsidRPr="001D7101" w:rsidRDefault="000E0198" w:rsidP="002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Vaikas turi galimybę rodyti iniciatyvą, jaučiasi saugus ir pasitikintis savimi bei kitais, gali išreikšti savo nuomonę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3,73</w:t>
            </w:r>
          </w:p>
        </w:tc>
        <w:tc>
          <w:tcPr>
            <w:tcW w:w="4388" w:type="dxa"/>
          </w:tcPr>
          <w:p w:rsidR="00D11896" w:rsidRPr="001D7101" w:rsidRDefault="006F6623" w:rsidP="00F4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Įrengtos poilsio ir bendravimo zonos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2,94</w:t>
            </w:r>
          </w:p>
        </w:tc>
      </w:tr>
      <w:tr w:rsidR="006F6623" w:rsidRPr="001D7101" w:rsidTr="00951566">
        <w:tc>
          <w:tcPr>
            <w:tcW w:w="5841" w:type="dxa"/>
          </w:tcPr>
          <w:p w:rsidR="00D11896" w:rsidRPr="001D7101" w:rsidRDefault="000E0198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Ugdymo erdvės yra saugios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3,64</w:t>
            </w:r>
          </w:p>
        </w:tc>
        <w:tc>
          <w:tcPr>
            <w:tcW w:w="4388" w:type="dxa"/>
          </w:tcPr>
          <w:p w:rsidR="00FC3205" w:rsidRPr="001D7101" w:rsidRDefault="006F6623" w:rsidP="00F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Kartu su bendruomenės nariais nustatomas ugdymo priemonių, edukacinių aplinkų kūrimo poreikis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–3,09</w:t>
            </w:r>
          </w:p>
        </w:tc>
      </w:tr>
      <w:tr w:rsidR="006F6623" w:rsidRPr="001D7101" w:rsidTr="00951566">
        <w:tc>
          <w:tcPr>
            <w:tcW w:w="5841" w:type="dxa"/>
          </w:tcPr>
          <w:p w:rsidR="00D11896" w:rsidRPr="001D7101" w:rsidRDefault="000E0198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Ugdymui organizuoti turima reikalinga įranga ir priemonės, kurios atitinka programos turinį ir ugdytinių amžių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3,51</w:t>
            </w:r>
          </w:p>
        </w:tc>
        <w:tc>
          <w:tcPr>
            <w:tcW w:w="4388" w:type="dxa"/>
          </w:tcPr>
          <w:p w:rsidR="00D11896" w:rsidRPr="001D7101" w:rsidRDefault="006F6623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Vaikai patys dalyvauja kuriant ugdymo aplinką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–3,10</w:t>
            </w:r>
          </w:p>
        </w:tc>
      </w:tr>
      <w:tr w:rsidR="006F6623" w:rsidRPr="001D7101" w:rsidTr="00951566">
        <w:tc>
          <w:tcPr>
            <w:tcW w:w="5841" w:type="dxa"/>
          </w:tcPr>
          <w:p w:rsidR="00D11896" w:rsidRPr="001D7101" w:rsidRDefault="000E0198" w:rsidP="000E0198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Kuriama ir palaikoma vaiko emocinį ir intelektualinį ugdymą skatinanti aplinka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3,34; 4.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Bendruomenė turi galimybę vertinti ugdymo paslaugų kokybę ir teikti pasiūlymus jai užtikrinti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3,34; 2.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Centras yra atviras bendradarbiavimui su kitais partneriais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3,34.</w:t>
            </w:r>
          </w:p>
        </w:tc>
        <w:tc>
          <w:tcPr>
            <w:tcW w:w="4388" w:type="dxa"/>
          </w:tcPr>
          <w:p w:rsidR="006F6623" w:rsidRPr="00402F64" w:rsidRDefault="006F6623" w:rsidP="006F6623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02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Centras įtraukia bendruomenę, ypač tėvus (globėjus, rūpintojus), į veiklų planavimą</w:t>
            </w:r>
            <w:r w:rsidRPr="001D71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3,13</w:t>
            </w:r>
          </w:p>
          <w:p w:rsidR="00D11896" w:rsidRPr="001D7101" w:rsidRDefault="00D11896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BC5" w:rsidRPr="001D7101" w:rsidRDefault="009C3BC5" w:rsidP="009C3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170" w:rsidRDefault="006F6623" w:rsidP="00E400D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Nustatyta, kad a</w:t>
      </w:r>
      <w:r w:rsidR="00C714A9" w:rsidRPr="001D7101">
        <w:rPr>
          <w:rFonts w:ascii="Times New Roman" w:hAnsi="Times New Roman" w:cs="Times New Roman"/>
          <w:sz w:val="24"/>
          <w:szCs w:val="24"/>
        </w:rPr>
        <w:t>ukščiausia</w:t>
      </w:r>
      <w:r w:rsidRPr="001D7101">
        <w:rPr>
          <w:rFonts w:ascii="Times New Roman" w:hAnsi="Times New Roman" w:cs="Times New Roman"/>
          <w:sz w:val="24"/>
          <w:szCs w:val="24"/>
        </w:rPr>
        <w:t>i vertinama psichologinė centro aplinka, visi trys psichologinės aplinkos rodikliai pateko tarp penkių aukščiausių verčių. Tai teiginiai – v</w:t>
      </w:r>
      <w:r w:rsidRPr="001D7101">
        <w:rPr>
          <w:rFonts w:ascii="Times New Roman" w:hAnsi="Times New Roman" w:cs="Times New Roman"/>
          <w:sz w:val="24"/>
          <w:szCs w:val="24"/>
          <w:u w:val="single"/>
        </w:rPr>
        <w:t xml:space="preserve">aikų, mokytojų ir vadovų tarpusavio santykiai grindžiami pagarba ir pasitikėjimu; </w:t>
      </w:r>
      <w:r w:rsidRPr="001D710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v</w:t>
      </w:r>
      <w:r w:rsidRPr="00402F6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aikas turi galimybę rodyti iniciatyvą, jaučiasi saugus ir pasitikintis savimi bei kitais, gali išreikšti savo nuomonę</w:t>
      </w:r>
      <w:r w:rsidRPr="001D7101">
        <w:rPr>
          <w:rFonts w:ascii="Times New Roman" w:hAnsi="Times New Roman" w:cs="Times New Roman"/>
          <w:sz w:val="24"/>
          <w:szCs w:val="24"/>
          <w:u w:val="single"/>
        </w:rPr>
        <w:t>; k</w:t>
      </w:r>
      <w:r w:rsidRPr="00402F6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uriama ir palaikoma vaiko emocinį ir intelektualinį ugdymą skatinanti aplinka</w:t>
      </w:r>
      <w:r w:rsidR="00953EF7" w:rsidRPr="001D710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53EF7" w:rsidRPr="001D7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170" w:rsidRPr="001D7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170" w:rsidRPr="001D7101">
        <w:rPr>
          <w:rFonts w:ascii="Times New Roman" w:hAnsi="Times New Roman" w:cs="Times New Roman"/>
          <w:sz w:val="24"/>
          <w:szCs w:val="24"/>
        </w:rPr>
        <w:t xml:space="preserve">Žemiausiai vertinama šios fizinės ugdymo(si) aplinkos  ir priemonės: patalpų pritaikymas mokiniams, turintiems specialiųjų ugdymosi poreikių bei įrengtos poilsio ir bendravimo zonos. </w:t>
      </w:r>
    </w:p>
    <w:p w:rsidR="0059647F" w:rsidRPr="001D7101" w:rsidRDefault="0059647F" w:rsidP="00E400D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E400D6" w:rsidRPr="001D7101" w:rsidRDefault="00E400D6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noProof/>
          <w:lang w:eastAsia="lt-LT"/>
        </w:rPr>
        <w:drawing>
          <wp:inline distT="0" distB="0" distL="0" distR="0" wp14:anchorId="78636257" wp14:editId="17C09E6A">
            <wp:extent cx="6080760" cy="3855720"/>
            <wp:effectExtent l="0" t="0" r="15240" b="1143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647F" w:rsidRDefault="00FB0170" w:rsidP="00FB0170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FB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170" w:rsidRPr="001D7101" w:rsidRDefault="0059647F" w:rsidP="00FB0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B0170" w:rsidRPr="001D7101">
        <w:rPr>
          <w:rFonts w:ascii="Times New Roman" w:hAnsi="Times New Roman" w:cs="Times New Roman"/>
          <w:sz w:val="24"/>
          <w:szCs w:val="24"/>
        </w:rPr>
        <w:t>Du bendravimo ir bendradarbiavimo  rodikliai pateko tarp penkių aukščiausių verčių, tai „</w:t>
      </w:r>
      <w:r w:rsidR="00FB0170" w:rsidRPr="00402F64">
        <w:rPr>
          <w:rFonts w:ascii="Times New Roman" w:eastAsia="Times New Roman" w:hAnsi="Times New Roman" w:cs="Times New Roman"/>
          <w:bCs/>
          <w:sz w:val="24"/>
          <w:szCs w:val="24"/>
        </w:rPr>
        <w:t>Centras yra atviras bendradarbiavimui su kitais partneriais</w:t>
      </w:r>
      <w:r w:rsidR="00FB0170" w:rsidRPr="001D7101">
        <w:rPr>
          <w:rFonts w:ascii="Times New Roman" w:eastAsia="Times New Roman" w:hAnsi="Times New Roman" w:cs="Times New Roman"/>
          <w:bCs/>
          <w:sz w:val="24"/>
          <w:szCs w:val="24"/>
        </w:rPr>
        <w:t xml:space="preserve">“ bei </w:t>
      </w:r>
      <w:r w:rsidR="00E400D6" w:rsidRPr="001D7101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E400D6" w:rsidRPr="00402F64">
        <w:rPr>
          <w:rFonts w:ascii="Times New Roman" w:eastAsia="Times New Roman" w:hAnsi="Times New Roman" w:cs="Times New Roman"/>
          <w:bCs/>
          <w:sz w:val="24"/>
          <w:szCs w:val="24"/>
        </w:rPr>
        <w:t>Bendruomenė turi galimybę vertinti ugdymo paslaugų kokybę ir teikti pasiūlymus jai užtikrinti</w:t>
      </w:r>
      <w:r w:rsidR="00E400D6" w:rsidRPr="001D7101">
        <w:rPr>
          <w:rFonts w:ascii="Times New Roman" w:eastAsia="Times New Roman" w:hAnsi="Times New Roman" w:cs="Times New Roman"/>
          <w:bCs/>
          <w:sz w:val="24"/>
          <w:szCs w:val="24"/>
        </w:rPr>
        <w:t>“. Daugiau negu 50 proc. respondentų visiškai sutiko su šiais teiginiais.</w:t>
      </w:r>
    </w:p>
    <w:p w:rsidR="006018EF" w:rsidRPr="001D7101" w:rsidRDefault="00FB0170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b/>
          <w:sz w:val="24"/>
          <w:szCs w:val="24"/>
        </w:rPr>
        <w:tab/>
      </w:r>
    </w:p>
    <w:p w:rsidR="006018EF" w:rsidRPr="001D7101" w:rsidRDefault="006018EF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noProof/>
          <w:lang w:eastAsia="lt-LT"/>
        </w:rPr>
        <w:drawing>
          <wp:inline distT="0" distB="0" distL="0" distR="0" wp14:anchorId="5BA3D9BF" wp14:editId="7222224F">
            <wp:extent cx="5745480" cy="3360420"/>
            <wp:effectExtent l="0" t="0" r="7620" b="1143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8EF" w:rsidRPr="001D7101" w:rsidRDefault="00E400D6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</w:p>
    <w:p w:rsidR="006018EF" w:rsidRPr="001D7101" w:rsidRDefault="0059647F" w:rsidP="00E400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400D6" w:rsidRPr="001D7101">
        <w:rPr>
          <w:rFonts w:ascii="Times New Roman" w:hAnsi="Times New Roman" w:cs="Times New Roman"/>
          <w:sz w:val="24"/>
          <w:szCs w:val="24"/>
        </w:rPr>
        <w:t>Du bendravimo ir bendradarbiavimo  rodikliai pateko tarp penkių žemiausių verčių, tai – „k</w:t>
      </w:r>
      <w:r w:rsidR="00E400D6" w:rsidRPr="00402F64">
        <w:rPr>
          <w:rFonts w:ascii="Times New Roman" w:eastAsia="Times New Roman" w:hAnsi="Times New Roman" w:cs="Times New Roman"/>
          <w:bCs/>
          <w:sz w:val="24"/>
          <w:szCs w:val="24"/>
        </w:rPr>
        <w:t>artu su bendruomenės nariais nustatomas ugdymo priemonių, edukacinių aplinkų kūrimo poreikis</w:t>
      </w:r>
      <w:r w:rsidR="00E400D6" w:rsidRPr="001D7101">
        <w:rPr>
          <w:rFonts w:ascii="Times New Roman" w:eastAsia="Times New Roman" w:hAnsi="Times New Roman" w:cs="Times New Roman"/>
          <w:bCs/>
          <w:sz w:val="24"/>
          <w:szCs w:val="24"/>
        </w:rPr>
        <w:t>“ bei „c</w:t>
      </w:r>
      <w:r w:rsidR="00E400D6" w:rsidRPr="00402F64">
        <w:rPr>
          <w:rFonts w:ascii="Times New Roman" w:eastAsia="Times New Roman" w:hAnsi="Times New Roman" w:cs="Times New Roman"/>
          <w:bCs/>
          <w:sz w:val="24"/>
          <w:szCs w:val="24"/>
        </w:rPr>
        <w:t>entras įtraukia bendruomenę, ypač tėvus (globėjus, rūpintojus), į veiklų planavimą</w:t>
      </w:r>
      <w:r w:rsidR="00E400D6" w:rsidRPr="001D7101">
        <w:rPr>
          <w:rFonts w:ascii="Times New Roman" w:eastAsia="Times New Roman" w:hAnsi="Times New Roman" w:cs="Times New Roman"/>
          <w:bCs/>
          <w:sz w:val="24"/>
          <w:szCs w:val="24"/>
        </w:rPr>
        <w:t>“.  Tai rodo, kad dar trūksta bendravimo ir bendradarbiavimo su  ugdytinių tėvais, globėjais ar rūpintojais.</w:t>
      </w:r>
    </w:p>
    <w:p w:rsidR="006018EF" w:rsidRPr="001D7101" w:rsidRDefault="006018EF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noProof/>
          <w:lang w:eastAsia="lt-LT"/>
        </w:rPr>
        <w:drawing>
          <wp:inline distT="0" distB="0" distL="0" distR="0" wp14:anchorId="325DEC40" wp14:editId="3ADE40B9">
            <wp:extent cx="5745480" cy="3360420"/>
            <wp:effectExtent l="0" t="0" r="7620" b="1143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28EC" w:rsidRDefault="00953EF7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47F" w:rsidRPr="001D7101" w:rsidRDefault="0059647F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7D3" w:rsidRPr="00496557" w:rsidRDefault="001D7101" w:rsidP="00D6227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101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Nustatyta, kad  centro  ugdymo erdvės vertinamos kaip saugios (68 proc. visiškai sutinka su teiginiu), o ugdymui organizuoti  turima reikalinga įranga ir priemonės, kurios atitinka programos turinį ir ugdytinių amžių (59,20 proc. visiškai sutinka su teiginiu).  Kiek žemiau buvo vertintas teiginys, kad  </w:t>
      </w:r>
      <w:r w:rsidR="00D6227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centras turi ugdymo programų specifikai pritaikytas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plinkas. Jei patalpose vykdomos kelios programos, erdvės lengvai pritaik</w:t>
      </w:r>
      <w:r w:rsidR="00D62279">
        <w:rPr>
          <w:rFonts w:ascii="Times New Roman" w:hAnsi="Times New Roman" w:cs="Times New Roman"/>
          <w:sz w:val="24"/>
          <w:szCs w:val="24"/>
        </w:rPr>
        <w:t>omos pagal program</w:t>
      </w:r>
      <w:r w:rsidR="00425D49">
        <w:rPr>
          <w:rFonts w:ascii="Times New Roman" w:hAnsi="Times New Roman" w:cs="Times New Roman"/>
          <w:sz w:val="24"/>
          <w:szCs w:val="24"/>
        </w:rPr>
        <w:t xml:space="preserve">os specifiką“. </w:t>
      </w:r>
      <w:r w:rsidR="00425D49" w:rsidRPr="00496557">
        <w:rPr>
          <w:rFonts w:ascii="Times New Roman" w:hAnsi="Times New Roman" w:cs="Times New Roman"/>
          <w:sz w:val="24"/>
          <w:szCs w:val="24"/>
          <w:u w:val="single"/>
        </w:rPr>
        <w:t>Tai centro skauduly</w:t>
      </w:r>
      <w:r w:rsidR="00D62279" w:rsidRPr="00496557">
        <w:rPr>
          <w:rFonts w:ascii="Times New Roman" w:hAnsi="Times New Roman" w:cs="Times New Roman"/>
          <w:sz w:val="24"/>
          <w:szCs w:val="24"/>
          <w:u w:val="single"/>
        </w:rPr>
        <w:t>s, nes  centras neturi nuosavos sporto salės, o ugdymui naudojasi bendrojo lavinimo mokyklų sporto salėmis. Ugdymo procesui kenkia  didelis sporto salių užimtumas, nes pačios mokyklos pirmiausia vykdo savo veiklas, neformalius užsiėmimus ar projektines veiklas, o centrui tenka nepatogus laikas užsiėmimams. Tą išsakė ir apklausos dalyviai.</w:t>
      </w:r>
    </w:p>
    <w:p w:rsidR="00072AD0" w:rsidRPr="001D7101" w:rsidRDefault="001D7101" w:rsidP="00AE15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lt-LT"/>
        </w:rPr>
        <w:drawing>
          <wp:inline distT="0" distB="0" distL="0" distR="0" wp14:anchorId="6D5CAB54" wp14:editId="1BFB6E21">
            <wp:extent cx="6080760" cy="4152900"/>
            <wp:effectExtent l="0" t="0" r="15240" b="0"/>
            <wp:docPr id="18" name="Diagrama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18EF" w:rsidRDefault="001D7101" w:rsidP="00D62279">
      <w:pPr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  <w:t>Fizinės ugdymo(si) aplinkos vertinimas  kiek  išsiskyrė.  Dalis respondent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D7101">
        <w:rPr>
          <w:rFonts w:ascii="Times New Roman" w:hAnsi="Times New Roman" w:cs="Times New Roman"/>
          <w:sz w:val="24"/>
          <w:szCs w:val="24"/>
        </w:rPr>
        <w:t xml:space="preserve"> pažymėjo, kad ugdymo(si) aplinkos nepritaikytos mokiniams, turintiems special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7101">
        <w:rPr>
          <w:rFonts w:ascii="Times New Roman" w:hAnsi="Times New Roman" w:cs="Times New Roman"/>
          <w:sz w:val="24"/>
          <w:szCs w:val="24"/>
        </w:rPr>
        <w:t>ųjų ugdymosi poreikių</w:t>
      </w:r>
      <w:r>
        <w:rPr>
          <w:rFonts w:ascii="Times New Roman" w:hAnsi="Times New Roman" w:cs="Times New Roman"/>
          <w:sz w:val="24"/>
          <w:szCs w:val="24"/>
        </w:rPr>
        <w:t>, kad neįrengtos poilsio ir bendravimo zonos bei vaikai neįtraukiami į ugdymo aplinkos kūrimą. Kai kurių sporto šakų respo</w:t>
      </w:r>
      <w:r w:rsidR="002D5C80">
        <w:rPr>
          <w:rFonts w:ascii="Times New Roman" w:hAnsi="Times New Roman" w:cs="Times New Roman"/>
          <w:sz w:val="24"/>
          <w:szCs w:val="24"/>
        </w:rPr>
        <w:t>ndentai paminėjo, kad trūksta hi</w:t>
      </w:r>
      <w:r>
        <w:rPr>
          <w:rFonts w:ascii="Times New Roman" w:hAnsi="Times New Roman" w:cs="Times New Roman"/>
          <w:sz w:val="24"/>
          <w:szCs w:val="24"/>
        </w:rPr>
        <w:t xml:space="preserve">gienos normas atitinkančių patalpų treniruotėms ar erdvesnių patalpų. </w:t>
      </w:r>
    </w:p>
    <w:p w:rsidR="001D7101" w:rsidRPr="001D7101" w:rsidRDefault="001D7101" w:rsidP="00D62279">
      <w:pPr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Visgi a</w:t>
      </w:r>
      <w:r w:rsidRPr="001D7101">
        <w:rPr>
          <w:rFonts w:ascii="Times New Roman" w:hAnsi="Times New Roman" w:cs="Times New Roman"/>
          <w:sz w:val="24"/>
          <w:szCs w:val="24"/>
          <w:u w:val="single"/>
        </w:rPr>
        <w:t>pibendrinant galima teigti, kad centro bendradarbiavimo bei bendravimo rodiklis bei  fizinė ir psichologinė ugdymo(si) aplinka yra vertinama teigiamai.</w:t>
      </w:r>
    </w:p>
    <w:p w:rsidR="001D7101" w:rsidRPr="001D7101" w:rsidRDefault="001D7101" w:rsidP="00AE15AC">
      <w:pPr>
        <w:rPr>
          <w:rFonts w:ascii="Times New Roman" w:hAnsi="Times New Roman" w:cs="Times New Roman"/>
          <w:sz w:val="24"/>
          <w:szCs w:val="24"/>
        </w:rPr>
      </w:pPr>
    </w:p>
    <w:p w:rsidR="001D7101" w:rsidRPr="001D7101" w:rsidRDefault="001D7101" w:rsidP="00AE15AC">
      <w:pPr>
        <w:rPr>
          <w:rFonts w:ascii="Times New Roman" w:hAnsi="Times New Roman" w:cs="Times New Roman"/>
          <w:sz w:val="24"/>
          <w:szCs w:val="24"/>
        </w:rPr>
      </w:pPr>
    </w:p>
    <w:p w:rsidR="006018EF" w:rsidRPr="001D7101" w:rsidRDefault="001D7101" w:rsidP="00AE15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lt-LT"/>
        </w:rPr>
        <w:lastRenderedPageBreak/>
        <w:drawing>
          <wp:inline distT="0" distB="0" distL="0" distR="0" wp14:anchorId="4A077DF1" wp14:editId="29132103">
            <wp:extent cx="6080760" cy="3878580"/>
            <wp:effectExtent l="0" t="0" r="15240" b="7620"/>
            <wp:docPr id="19" name="Diagrama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6018EF" w:rsidRPr="001D7101" w:rsidSect="005554A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95CEF"/>
    <w:multiLevelType w:val="hybridMultilevel"/>
    <w:tmpl w:val="8CBA2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C5"/>
    <w:rsid w:val="00006907"/>
    <w:rsid w:val="00072AD0"/>
    <w:rsid w:val="000E0198"/>
    <w:rsid w:val="0015587E"/>
    <w:rsid w:val="001D7101"/>
    <w:rsid w:val="001E2903"/>
    <w:rsid w:val="001F1ADE"/>
    <w:rsid w:val="001F79B9"/>
    <w:rsid w:val="00205CC3"/>
    <w:rsid w:val="00261DFA"/>
    <w:rsid w:val="00266319"/>
    <w:rsid w:val="002B64E3"/>
    <w:rsid w:val="002D5C80"/>
    <w:rsid w:val="002E47D3"/>
    <w:rsid w:val="003440D4"/>
    <w:rsid w:val="0039002D"/>
    <w:rsid w:val="003D7CBD"/>
    <w:rsid w:val="00425D49"/>
    <w:rsid w:val="0042659E"/>
    <w:rsid w:val="00492D9F"/>
    <w:rsid w:val="00496557"/>
    <w:rsid w:val="004C25C5"/>
    <w:rsid w:val="004C3E0F"/>
    <w:rsid w:val="004F17E9"/>
    <w:rsid w:val="00554559"/>
    <w:rsid w:val="005554A8"/>
    <w:rsid w:val="005735A9"/>
    <w:rsid w:val="0059647F"/>
    <w:rsid w:val="006018EF"/>
    <w:rsid w:val="006A31DB"/>
    <w:rsid w:val="006F6623"/>
    <w:rsid w:val="007316B9"/>
    <w:rsid w:val="007E79A0"/>
    <w:rsid w:val="00836CAB"/>
    <w:rsid w:val="00951566"/>
    <w:rsid w:val="00953EF7"/>
    <w:rsid w:val="00970A83"/>
    <w:rsid w:val="00973C36"/>
    <w:rsid w:val="009C3BC5"/>
    <w:rsid w:val="00A33EC5"/>
    <w:rsid w:val="00AA6E65"/>
    <w:rsid w:val="00AB6385"/>
    <w:rsid w:val="00AC6F87"/>
    <w:rsid w:val="00AE15AC"/>
    <w:rsid w:val="00AE28EC"/>
    <w:rsid w:val="00B25C83"/>
    <w:rsid w:val="00C22D1D"/>
    <w:rsid w:val="00C714A9"/>
    <w:rsid w:val="00CB705D"/>
    <w:rsid w:val="00D11896"/>
    <w:rsid w:val="00D62279"/>
    <w:rsid w:val="00E34E11"/>
    <w:rsid w:val="00E400D6"/>
    <w:rsid w:val="00F4590F"/>
    <w:rsid w:val="00F730FE"/>
    <w:rsid w:val="00FA51C6"/>
    <w:rsid w:val="00FA6024"/>
    <w:rsid w:val="00FB0170"/>
    <w:rsid w:val="00FB2313"/>
    <w:rsid w:val="00FB5105"/>
    <w:rsid w:val="00FC3205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3EC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339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1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25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3EC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339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1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25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klausa.lt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is&#279;jai\Downloads\Copy%20of%20Rezultatai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is&#279;jai\Downloads\Copy%20of%20Rezultatai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is&#279;jai\Downloads\Copy%20of%20Rezultatai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is&#279;jai\Downloads\Copy%20of%20Rezultatai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is&#279;jai\Downloads\Copy%20of%20Rezultatai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Psichologinė</a:t>
            </a:r>
            <a:r>
              <a:rPr lang="lt-LT" baseline="0"/>
              <a:t> aplinka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12773270564245"/>
          <c:y val="0.14170634797132572"/>
          <c:w val="0.80574538593816358"/>
          <c:h val="0.5274457170126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'[Copy of Rezultatai (1).xlsx]Sheet3'!$M$100</c:f>
              <c:strCache>
                <c:ptCount val="1"/>
                <c:pt idx="0">
                  <c:v>Kuriama ir palaikoma vaiko emocinį ir intelektualinį ugdymą skatinanti aplinka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(1).xlsx]Sheet3'!$J$101:$J$105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(1).xlsx]Sheet3'!$M$101:$M$105</c:f>
              <c:numCache>
                <c:formatCode>0.00</c:formatCode>
                <c:ptCount val="5"/>
                <c:pt idx="0">
                  <c:v>4.8</c:v>
                </c:pt>
                <c:pt idx="1">
                  <c:v>0.8</c:v>
                </c:pt>
                <c:pt idx="2">
                  <c:v>4</c:v>
                </c:pt>
                <c:pt idx="3">
                  <c:v>36.799999999999997</c:v>
                </c:pt>
                <c:pt idx="4">
                  <c:v>53.6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88-4876-8DDF-993B6CD67BB5}"/>
            </c:ext>
          </c:extLst>
        </c:ser>
        <c:ser>
          <c:idx val="1"/>
          <c:order val="1"/>
          <c:tx>
            <c:strRef>
              <c:f>'[Copy of Rezultatai (1).xlsx]Sheet3'!$N$100</c:f>
              <c:strCache>
                <c:ptCount val="1"/>
                <c:pt idx="0">
                  <c:v>Vaikų, mokytojų ir vadovų tarpusavio santykiai grindžiami pagarba ir pasitikėjimu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(1).xlsx]Sheet3'!$J$101:$J$105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(1).xlsx]Sheet3'!$N$101:$N$105</c:f>
              <c:numCache>
                <c:formatCode>0.00</c:formatCode>
                <c:ptCount val="5"/>
                <c:pt idx="0">
                  <c:v>1.6</c:v>
                </c:pt>
                <c:pt idx="1">
                  <c:v>0</c:v>
                </c:pt>
                <c:pt idx="2">
                  <c:v>0</c:v>
                </c:pt>
                <c:pt idx="3">
                  <c:v>13.6</c:v>
                </c:pt>
                <c:pt idx="4">
                  <c:v>84.8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88-4876-8DDF-993B6CD67BB5}"/>
            </c:ext>
          </c:extLst>
        </c:ser>
        <c:ser>
          <c:idx val="2"/>
          <c:order val="2"/>
          <c:tx>
            <c:strRef>
              <c:f>'[Copy of Rezultatai (1).xlsx]Sheet3'!$O$100</c:f>
              <c:strCache>
                <c:ptCount val="1"/>
                <c:pt idx="0">
                  <c:v>Vaikas turi galimybę rodyti iniciatyvą, jaučiasi saugus ir pasitikintis savimi bei kitais, gali išreikšti savo nuomonę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(1).xlsx]Sheet3'!$J$101:$J$105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(1).xlsx]Sheet3'!$O$101:$O$105</c:f>
              <c:numCache>
                <c:formatCode>0.00</c:formatCode>
                <c:ptCount val="5"/>
                <c:pt idx="0">
                  <c:v>0</c:v>
                </c:pt>
                <c:pt idx="1">
                  <c:v>0.8</c:v>
                </c:pt>
                <c:pt idx="2">
                  <c:v>0.8</c:v>
                </c:pt>
                <c:pt idx="3">
                  <c:v>23.2</c:v>
                </c:pt>
                <c:pt idx="4">
                  <c:v>75.2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88-4876-8DDF-993B6CD67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axId val="71674112"/>
        <c:axId val="71680000"/>
      </c:barChart>
      <c:catAx>
        <c:axId val="716741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1680000"/>
        <c:crosses val="autoZero"/>
        <c:auto val="1"/>
        <c:lblAlgn val="ctr"/>
        <c:lblOffset val="100"/>
        <c:noMultiLvlLbl val="0"/>
      </c:catAx>
      <c:valAx>
        <c:axId val="716800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Procentai</a:t>
                </a:r>
                <a:endParaRPr lang="en-US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71674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048772252274831"/>
          <c:y val="0.78434898018700039"/>
          <c:w val="0.86561749409970967"/>
          <c:h val="0.2156510198129995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Bendravimas</a:t>
            </a:r>
            <a:r>
              <a:rPr lang="lt-LT" baseline="0"/>
              <a:t> ir bendradarbiavimas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12773270564245"/>
          <c:y val="0.17135060498390087"/>
          <c:w val="0.80574538593816358"/>
          <c:h val="0.52085810702233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'[Copy of Rezultatai (1).xlsx]Sheet3'!$M$24</c:f>
              <c:strCache>
                <c:ptCount val="1"/>
                <c:pt idx="0">
                  <c:v>Centras yra atviras bendradarbiavimui su kitais partneriais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(1).xlsx]Sheet3'!$J$25:$J$29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(1).xlsx]Sheet3'!$M$25:$M$29</c:f>
              <c:numCache>
                <c:formatCode>0.00</c:formatCode>
                <c:ptCount val="5"/>
                <c:pt idx="0">
                  <c:v>6.4</c:v>
                </c:pt>
                <c:pt idx="1">
                  <c:v>0</c:v>
                </c:pt>
                <c:pt idx="2">
                  <c:v>0.8</c:v>
                </c:pt>
                <c:pt idx="3">
                  <c:v>39.200000000000003</c:v>
                </c:pt>
                <c:pt idx="4">
                  <c:v>53.6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BF-4A14-B3ED-30EA07D636F3}"/>
            </c:ext>
          </c:extLst>
        </c:ser>
        <c:ser>
          <c:idx val="1"/>
          <c:order val="1"/>
          <c:tx>
            <c:strRef>
              <c:f>'[Copy of Rezultatai (1).xlsx]Sheet3'!$N$24</c:f>
              <c:strCache>
                <c:ptCount val="1"/>
                <c:pt idx="0">
                  <c:v>Bendruomenė turi galimybę vertinti ugdymo paslaugų kokybę ir teikti pasiūlymus jai užtikrinti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(1).xlsx]Sheet3'!$J$25:$J$29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(1).xlsx]Sheet3'!$N$25:$N$29</c:f>
              <c:numCache>
                <c:formatCode>0.00</c:formatCode>
                <c:ptCount val="5"/>
                <c:pt idx="0">
                  <c:v>5.6</c:v>
                </c:pt>
                <c:pt idx="1">
                  <c:v>0.8</c:v>
                </c:pt>
                <c:pt idx="2">
                  <c:v>1.6</c:v>
                </c:pt>
                <c:pt idx="3">
                  <c:v>37.6</c:v>
                </c:pt>
                <c:pt idx="4">
                  <c:v>54.4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BF-4A14-B3ED-30EA07D63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axId val="71695744"/>
        <c:axId val="71304320"/>
      </c:barChart>
      <c:catAx>
        <c:axId val="71695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1304320"/>
        <c:crosses val="autoZero"/>
        <c:auto val="1"/>
        <c:lblAlgn val="ctr"/>
        <c:lblOffset val="100"/>
        <c:noMultiLvlLbl val="0"/>
      </c:catAx>
      <c:valAx>
        <c:axId val="713043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Procentai</a:t>
                </a:r>
                <a:endParaRPr lang="en-US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71695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048772252274831"/>
          <c:y val="0.78434898018700039"/>
          <c:w val="0.85856621204842742"/>
          <c:h val="0.175727438832050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Bendravimas</a:t>
            </a:r>
            <a:r>
              <a:rPr lang="lt-LT" baseline="0"/>
              <a:t> ir bendradarbiavimas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12773270564245"/>
          <c:y val="0.17135060498390087"/>
          <c:w val="0.80574538593816358"/>
          <c:h val="0.52085810702233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'[Copy of Rezultatai (1).xlsx]Sheet3'!$K$24</c:f>
              <c:strCache>
                <c:ptCount val="1"/>
                <c:pt idx="0">
                  <c:v>Centras įtraukia bendruomenę, ypač tėvus (globėjus, rūpintojus), į veiklų planavimą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(1).xlsx]Sheet3'!$J$25:$J$29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(1).xlsx]Sheet3'!$K$25:$K$29</c:f>
              <c:numCache>
                <c:formatCode>0.00</c:formatCode>
                <c:ptCount val="5"/>
                <c:pt idx="0">
                  <c:v>7.2</c:v>
                </c:pt>
                <c:pt idx="1">
                  <c:v>1.6</c:v>
                </c:pt>
                <c:pt idx="2">
                  <c:v>6.4</c:v>
                </c:pt>
                <c:pt idx="3">
                  <c:v>40.799999999999997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E1-4ECD-965A-2FB41DFA476B}"/>
            </c:ext>
          </c:extLst>
        </c:ser>
        <c:ser>
          <c:idx val="1"/>
          <c:order val="1"/>
          <c:tx>
            <c:strRef>
              <c:f>'[Copy of Rezultatai (1).xlsx]Sheet3'!$L$24</c:f>
              <c:strCache>
                <c:ptCount val="1"/>
                <c:pt idx="0">
                  <c:v>Kartu su bendruomenės nariais nustatomas ugdymo priemonių, edukacinių aplinkų kūrimo poreikis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(1).xlsx]Sheet3'!$J$25:$J$29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(1).xlsx]Sheet3'!$L$25:$L$29</c:f>
              <c:numCache>
                <c:formatCode>0.00</c:formatCode>
                <c:ptCount val="5"/>
                <c:pt idx="0">
                  <c:v>8.8000000000000007</c:v>
                </c:pt>
                <c:pt idx="1">
                  <c:v>0</c:v>
                </c:pt>
                <c:pt idx="2">
                  <c:v>3.2</c:v>
                </c:pt>
                <c:pt idx="3">
                  <c:v>49.6</c:v>
                </c:pt>
                <c:pt idx="4">
                  <c:v>38.4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E1-4ECD-965A-2FB41DFA47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axId val="71332608"/>
        <c:axId val="71334144"/>
      </c:barChart>
      <c:catAx>
        <c:axId val="71332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1334144"/>
        <c:crosses val="autoZero"/>
        <c:auto val="1"/>
        <c:lblAlgn val="ctr"/>
        <c:lblOffset val="100"/>
        <c:noMultiLvlLbl val="0"/>
      </c:catAx>
      <c:valAx>
        <c:axId val="713341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Procentai</a:t>
                </a:r>
                <a:endParaRPr lang="en-US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7133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048772252274831"/>
          <c:y val="0.78434898018700039"/>
          <c:w val="0.85856621204842742"/>
          <c:h val="0.175727438832050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Fizinė</a:t>
            </a:r>
            <a:r>
              <a:rPr lang="lt-LT" baseline="0"/>
              <a:t> ugdymo(si) aplinka ir priemonės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12773270564245"/>
          <c:y val="0.14170634797132572"/>
          <c:w val="0.80574538593816358"/>
          <c:h val="0.478515976787305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'[Copy of Rezultatai (1).xlsx]Sheet3'!$K$61</c:f>
              <c:strCache>
                <c:ptCount val="1"/>
                <c:pt idx="0">
                  <c:v>Ugdymo erdvės yra saugios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(1).xlsx]Sheet3'!$J$62:$J$66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(1).xlsx]Sheet3'!$K$62:$K$66</c:f>
              <c:numCache>
                <c:formatCode>####.00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28</c:v>
                </c:pt>
                <c:pt idx="4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3F-4A2A-9FE8-F7422A506372}"/>
            </c:ext>
          </c:extLst>
        </c:ser>
        <c:ser>
          <c:idx val="1"/>
          <c:order val="1"/>
          <c:tx>
            <c:strRef>
              <c:f>'[Copy of Rezultatai (1).xlsx]Sheet3'!$L$61</c:f>
              <c:strCache>
                <c:ptCount val="1"/>
                <c:pt idx="0">
                  <c:v>Centras turi ugdymo programų specifikai pritaikytas aplinkas. Jei patalpose vykdomos kelios programos, erdvės lengvai pritaikomos pagal programos specifiką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(1).xlsx]Sheet3'!$J$62:$J$66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(1).xlsx]Sheet3'!$L$62:$L$66</c:f>
              <c:numCache>
                <c:formatCode>####.00</c:formatCode>
                <c:ptCount val="5"/>
                <c:pt idx="0">
                  <c:v>2.4</c:v>
                </c:pt>
                <c:pt idx="1">
                  <c:v>0.8</c:v>
                </c:pt>
                <c:pt idx="2">
                  <c:v>8.8000000000000007</c:v>
                </c:pt>
                <c:pt idx="3">
                  <c:v>40.799999999999997</c:v>
                </c:pt>
                <c:pt idx="4">
                  <c:v>47.2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3F-4A2A-9FE8-F7422A506372}"/>
            </c:ext>
          </c:extLst>
        </c:ser>
        <c:ser>
          <c:idx val="2"/>
          <c:order val="2"/>
          <c:tx>
            <c:strRef>
              <c:f>'[Copy of Rezultatai (1).xlsx]Sheet3'!$M$61</c:f>
              <c:strCache>
                <c:ptCount val="1"/>
                <c:pt idx="0">
                  <c:v>Ugdymui organizuoti turima reikalinga įranga ir priemonės, kurios atitinka programos turinį ir ugdytinių amžių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(1).xlsx]Sheet3'!$J$62:$J$66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(1).xlsx]Sheet3'!$M$62:$M$66</c:f>
              <c:numCache>
                <c:formatCode>####.00</c:formatCode>
                <c:ptCount val="5"/>
                <c:pt idx="0">
                  <c:v>2.4</c:v>
                </c:pt>
                <c:pt idx="1">
                  <c:v>0</c:v>
                </c:pt>
                <c:pt idx="2">
                  <c:v>0.8</c:v>
                </c:pt>
                <c:pt idx="3">
                  <c:v>37.6</c:v>
                </c:pt>
                <c:pt idx="4">
                  <c:v>59.2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3F-4A2A-9FE8-F7422A5063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axId val="72749056"/>
        <c:axId val="72750592"/>
      </c:barChart>
      <c:catAx>
        <c:axId val="72749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2750592"/>
        <c:crosses val="autoZero"/>
        <c:auto val="1"/>
        <c:lblAlgn val="ctr"/>
        <c:lblOffset val="100"/>
        <c:noMultiLvlLbl val="0"/>
      </c:catAx>
      <c:valAx>
        <c:axId val="7275059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Procentai</a:t>
                </a:r>
                <a:endParaRPr lang="en-US"/>
              </a:p>
            </c:rich>
          </c:tx>
          <c:overlay val="0"/>
        </c:title>
        <c:numFmt formatCode="####.00" sourceLinked="1"/>
        <c:majorTickMark val="out"/>
        <c:minorTickMark val="none"/>
        <c:tickLblPos val="nextTo"/>
        <c:crossAx val="7274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25762240246285"/>
          <c:y val="0.69072021960557684"/>
          <c:w val="0.86561749409970967"/>
          <c:h val="0.3092797803944231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Fizinė</a:t>
            </a:r>
            <a:r>
              <a:rPr lang="lt-LT" baseline="0"/>
              <a:t> ugdymo(si) aplinka ir priemonės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12773270564245"/>
          <c:y val="0.14170634797132572"/>
          <c:w val="0.80574538593816358"/>
          <c:h val="0.550552521799215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'[Copy of Rezultatai (1).xlsx]Sheet3'!$N$61</c:f>
              <c:strCache>
                <c:ptCount val="1"/>
                <c:pt idx="0">
                  <c:v>Patalpos pritaikytos mokiniams, turintiems specialiųjų ugdymosi poreikių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(1).xlsx]Sheet3'!$J$62:$J$66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(1).xlsx]Sheet3'!$N$62:$N$66</c:f>
              <c:numCache>
                <c:formatCode>####.00</c:formatCode>
                <c:ptCount val="5"/>
                <c:pt idx="0">
                  <c:v>19.2</c:v>
                </c:pt>
                <c:pt idx="1">
                  <c:v>0.8</c:v>
                </c:pt>
                <c:pt idx="2">
                  <c:v>11.2</c:v>
                </c:pt>
                <c:pt idx="3">
                  <c:v>43.2</c:v>
                </c:pt>
                <c:pt idx="4">
                  <c:v>25.6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81-401A-9336-D78F7EB65952}"/>
            </c:ext>
          </c:extLst>
        </c:ser>
        <c:ser>
          <c:idx val="1"/>
          <c:order val="1"/>
          <c:tx>
            <c:strRef>
              <c:f>'[Copy of Rezultatai (1).xlsx]Sheet3'!$O$61</c:f>
              <c:strCache>
                <c:ptCount val="1"/>
                <c:pt idx="0">
                  <c:v>Įrengtos poilsio ir bendravimo zonos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(1).xlsx]Sheet3'!$J$62:$J$66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(1).xlsx]Sheet3'!$O$62:$O$66</c:f>
              <c:numCache>
                <c:formatCode>####.00</c:formatCode>
                <c:ptCount val="5"/>
                <c:pt idx="0">
                  <c:v>9.6</c:v>
                </c:pt>
                <c:pt idx="1">
                  <c:v>1.6</c:v>
                </c:pt>
                <c:pt idx="2">
                  <c:v>11.2</c:v>
                </c:pt>
                <c:pt idx="3">
                  <c:v>40.799999999999997</c:v>
                </c:pt>
                <c:pt idx="4">
                  <c:v>36.799999999999997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81-401A-9336-D78F7EB65952}"/>
            </c:ext>
          </c:extLst>
        </c:ser>
        <c:ser>
          <c:idx val="2"/>
          <c:order val="2"/>
          <c:tx>
            <c:strRef>
              <c:f>'[Copy of Rezultatai (1).xlsx]Sheet3'!$P$61</c:f>
              <c:strCache>
                <c:ptCount val="1"/>
                <c:pt idx="0">
                  <c:v>Vaikai patys dalyvauja kuriant ugdymo aplinką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'[Copy of Rezultatai (1).xlsx]Sheet3'!$J$62:$J$66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'[Copy of Rezultatai (1).xlsx]Sheet3'!$P$62:$P$66</c:f>
              <c:numCache>
                <c:formatCode>####.00</c:formatCode>
                <c:ptCount val="5"/>
                <c:pt idx="0">
                  <c:v>5.6</c:v>
                </c:pt>
                <c:pt idx="1">
                  <c:v>0</c:v>
                </c:pt>
                <c:pt idx="2">
                  <c:v>9.6</c:v>
                </c:pt>
                <c:pt idx="3">
                  <c:v>48</c:v>
                </c:pt>
                <c:pt idx="4">
                  <c:v>36.799999999999997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81-401A-9336-D78F7EB659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axId val="72780800"/>
        <c:axId val="72798976"/>
      </c:barChart>
      <c:catAx>
        <c:axId val="72780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2798976"/>
        <c:crosses val="autoZero"/>
        <c:auto val="1"/>
        <c:lblAlgn val="ctr"/>
        <c:lblOffset val="100"/>
        <c:noMultiLvlLbl val="0"/>
      </c:catAx>
      <c:valAx>
        <c:axId val="7279897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Procentai</a:t>
                </a:r>
                <a:endParaRPr lang="en-US"/>
              </a:p>
            </c:rich>
          </c:tx>
          <c:overlay val="0"/>
        </c:title>
        <c:numFmt formatCode="####.00" sourceLinked="1"/>
        <c:majorTickMark val="out"/>
        <c:minorTickMark val="none"/>
        <c:tickLblPos val="nextTo"/>
        <c:crossAx val="72780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048766930449483"/>
          <c:y val="0.78240335380474302"/>
          <c:w val="0.86561749409970967"/>
          <c:h val="0.1838975173974812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3673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ThisnkCentre</dc:creator>
  <cp:lastModifiedBy>ThisnkCentre</cp:lastModifiedBy>
  <cp:revision>20</cp:revision>
  <cp:lastPrinted>2018-12-10T13:41:00Z</cp:lastPrinted>
  <dcterms:created xsi:type="dcterms:W3CDTF">2021-02-01T09:04:00Z</dcterms:created>
  <dcterms:modified xsi:type="dcterms:W3CDTF">2021-03-01T08:00:00Z</dcterms:modified>
</cp:coreProperties>
</file>